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988" w:rsidRPr="00955324" w:rsidRDefault="00221988" w:rsidP="00221988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Лекция</w:t>
      </w:r>
      <w:r>
        <w:rPr>
          <w:sz w:val="20"/>
          <w:szCs w:val="20"/>
          <w:lang w:val="kk-KZ"/>
        </w:rPr>
        <w:t xml:space="preserve"> 14</w:t>
      </w:r>
      <w:r w:rsidRPr="00955324">
        <w:rPr>
          <w:sz w:val="20"/>
          <w:szCs w:val="20"/>
          <w:lang w:val="kk-KZ"/>
        </w:rPr>
        <w:t>. ОХРАНА ВОДНЫХ  РЕСУРСОВ ОТ ЗАГРЯЗНЕНИЯ РАДИОНУКЛИДАМИ</w:t>
      </w:r>
    </w:p>
    <w:p w:rsidR="00221988" w:rsidRPr="00955324" w:rsidRDefault="00221988" w:rsidP="00221988">
      <w:pPr>
        <w:ind w:firstLine="567"/>
        <w:jc w:val="center"/>
        <w:rPr>
          <w:sz w:val="20"/>
          <w:szCs w:val="20"/>
          <w:lang w:val="kk-KZ"/>
        </w:rPr>
      </w:pPr>
    </w:p>
    <w:p w:rsidR="00221988" w:rsidRPr="00955324" w:rsidRDefault="00221988" w:rsidP="00221988">
      <w:pPr>
        <w:ind w:firstLine="567"/>
        <w:jc w:val="center"/>
        <w:rPr>
          <w:b/>
          <w:sz w:val="20"/>
          <w:szCs w:val="20"/>
        </w:rPr>
      </w:pPr>
      <w:r w:rsidRPr="00955324">
        <w:rPr>
          <w:b/>
          <w:sz w:val="20"/>
          <w:szCs w:val="20"/>
        </w:rPr>
        <w:t>Источники загрязнения водных объектов</w:t>
      </w:r>
    </w:p>
    <w:p w:rsidR="00221988" w:rsidRPr="00955324" w:rsidRDefault="00221988" w:rsidP="00221988">
      <w:pPr>
        <w:ind w:firstLine="567"/>
        <w:jc w:val="center"/>
        <w:rPr>
          <w:b/>
          <w:sz w:val="20"/>
          <w:szCs w:val="20"/>
        </w:rPr>
      </w:pP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Загрязнение водных источников радионуклидами может происходить в результате различных причин: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дренажа технологической воды в глубокие подземные горизонты при разработке месторождений редких металлов;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проникновения радионуклидов в подземные горизонты из хвостохранилищ для хранения хвостов от обогащения руды, содержащей редкие металлы;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проникновения радионуклидов в подземные воды из полигонов по хранению технологических отходов, образующихся при переработке урановых руд;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 захоронения радиоактивных отходов на дне морей и океанов;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прямого попадания радионуклидов в морскую среду в результате аварий и гибели подводных лодок и надводных кораблей с ядерными энергетическими установками;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аварий во время транспортировки радиоактивных материалов с последующим смывом радионуклидов осадками в поверхностные источники;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аварий на радиохимических заводах, например загрязнение реки Течи и озера Карачай в результате аварии на объединении «Маяк»;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испытания ядерного оружия, выпадения радиоактивных осадков и загрязнения поверхностных источников, а также загрязнения подземных вод радионуклидами, вымываемыми из испытательных шахт (рисунок 1)</w:t>
      </w:r>
    </w:p>
    <w:p w:rsidR="00221988" w:rsidRPr="00955324" w:rsidRDefault="00221988" w:rsidP="00221988">
      <w:pPr>
        <w:jc w:val="both"/>
        <w:rPr>
          <w:sz w:val="20"/>
          <w:szCs w:val="20"/>
        </w:rPr>
      </w:pPr>
      <w:r>
        <w:rPr>
          <w:sz w:val="20"/>
          <w:szCs w:val="20"/>
        </w:rPr>
      </w:r>
      <w:r>
        <w:rPr>
          <w:sz w:val="20"/>
          <w:szCs w:val="20"/>
        </w:rPr>
        <w:pict>
          <v:group id="_x0000_s1026" editas="canvas" style="width:480.2pt;height:294.15pt;mso-position-horizontal-relative:char;mso-position-vertical-relative:line" coordorigin="2698,6787" coordsize="7268,4425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698;top:6787;width:7268;height:4425" o:preferrelative="f">
              <v:fill o:detectmouseclick="t"/>
              <v:path o:extrusionok="t" o:connecttype="none"/>
              <o:lock v:ext="edit" text="t"/>
            </v:shape>
            <v:group id="_x0000_s1028" style="position:absolute;left:3945;top:10455;width:4760;height:208" coordorigin="2565,8835" coordsize="6384,285">
              <v:rect id="_x0000_s1029" style="position:absolute;left:2565;top:8835;width:570;height:228" fillcolor="fuchsia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3306;top:8835;width:1197;height:285" filled="f" stroked="f">
                <v:textbox style="mso-next-textbox:#_x0000_s1030" inset="0,0,0,0">
                  <w:txbxContent>
                    <w:p w:rsidR="00221988" w:rsidRDefault="00221988" w:rsidP="00221988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lang w:val="en-US"/>
                        </w:rPr>
                        <w:t>Cs-137</w:t>
                      </w:r>
                    </w:p>
                  </w:txbxContent>
                </v:textbox>
              </v:shape>
              <v:rect id="_x0000_s1031" style="position:absolute;left:4842;top:8835;width:570;height:228" fillcolor="#99f"/>
              <v:shape id="_x0000_s1032" type="#_x0000_t202" style="position:absolute;left:5586;top:8835;width:1197;height:285" filled="f" stroked="f">
                <v:textbox style="mso-next-textbox:#_x0000_s1032" inset="0,0,0,0">
                  <w:txbxContent>
                    <w:p w:rsidR="00221988" w:rsidRDefault="00221988" w:rsidP="00221988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Н-3</w:t>
                      </w:r>
                    </w:p>
                  </w:txbxContent>
                </v:textbox>
              </v:shape>
              <v:shape id="_x0000_s1033" type="#_x0000_t202" style="position:absolute;left:7752;top:8835;width:1197;height:285" filled="f" stroked="f">
                <v:textbox style="mso-next-textbox:#_x0000_s1033" inset="0,0,0,0">
                  <w:txbxContent>
                    <w:p w:rsidR="00221988" w:rsidRDefault="00221988" w:rsidP="00221988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Дебит</w:t>
                      </w:r>
                    </w:p>
                  </w:txbxContent>
                </v:textbox>
              </v:shape>
              <v:line id="_x0000_s1034" style="position:absolute" from="6897,8949" to="7581,8949" strokecolor="blue" strokeweight="1.25pt"/>
            </v:group>
            <v:shape id="_x0000_s1035" type="#_x0000_t202" style="position:absolute;left:2698;top:10849;width:7268;height:363" filled="f" stroked="f">
              <v:textbox style="mso-next-textbox:#_x0000_s1035">
                <w:txbxContent>
                  <w:p w:rsidR="00221988" w:rsidRPr="005B50EE" w:rsidRDefault="00221988" w:rsidP="00221988">
                    <w:pPr>
                      <w:autoSpaceDE w:val="0"/>
                      <w:autoSpaceDN w:val="0"/>
                      <w:adjustRightInd w:val="0"/>
                      <w:rPr>
                        <w:color w:val="000000"/>
                        <w:sz w:val="28"/>
                        <w:szCs w:val="28"/>
                      </w:rPr>
                    </w:pPr>
                    <w:r w:rsidRPr="005B50EE">
                      <w:rPr>
                        <w:color w:val="000000"/>
                        <w:sz w:val="28"/>
                        <w:szCs w:val="28"/>
                      </w:rPr>
                      <w:t>Рисунок 8.1 Вымывание трития из штолен испытательных шахт</w:t>
                    </w:r>
                  </w:p>
                  <w:p w:rsidR="00221988" w:rsidRPr="005B50EE" w:rsidRDefault="00221988" w:rsidP="00221988"/>
                </w:txbxContent>
              </v:textbox>
            </v:shape>
            <v:rect id="_x0000_s1036" style="position:absolute;left:2698;top:6787;width:7268;height:4413" filled="f"/>
            <v:shape id="_x0000_s1037" type="#_x0000_t75" style="position:absolute;left:2698;top:7468;width:5449;height:3048">
              <v:imagedata r:id="rId4" o:title=""/>
            </v:shape>
            <w10:wrap type="none"/>
            <w10:anchorlock/>
          </v:group>
        </w:pict>
      </w:r>
    </w:p>
    <w:p w:rsidR="00221988" w:rsidRPr="00955324" w:rsidRDefault="00221988" w:rsidP="00221988">
      <w:pPr>
        <w:ind w:firstLine="567"/>
        <w:jc w:val="center"/>
        <w:rPr>
          <w:b/>
          <w:sz w:val="20"/>
          <w:szCs w:val="20"/>
        </w:rPr>
      </w:pPr>
    </w:p>
    <w:p w:rsidR="00221988" w:rsidRPr="00955324" w:rsidRDefault="00221988" w:rsidP="00221988">
      <w:pPr>
        <w:ind w:firstLine="567"/>
        <w:jc w:val="center"/>
        <w:rPr>
          <w:b/>
          <w:sz w:val="20"/>
          <w:szCs w:val="20"/>
        </w:rPr>
      </w:pPr>
      <w:r w:rsidRPr="00955324">
        <w:rPr>
          <w:b/>
          <w:sz w:val="20"/>
          <w:szCs w:val="20"/>
        </w:rPr>
        <w:t>Пути снижения загрязнения водных объектов радионуклидами</w:t>
      </w:r>
    </w:p>
    <w:p w:rsidR="00221988" w:rsidRPr="00955324" w:rsidRDefault="00221988" w:rsidP="00221988">
      <w:pPr>
        <w:ind w:firstLine="567"/>
        <w:jc w:val="center"/>
        <w:rPr>
          <w:sz w:val="20"/>
          <w:szCs w:val="20"/>
        </w:rPr>
      </w:pP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В соответствии с разными путями попадания радионуклидов в водные источники применяются различные методы снижения загрязнения водных объектов данными загрязнителями. 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Для снижения загрязнения подземных вод радионуклидами при разработке полезных ископаемых проводят следующие мероприятия: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использование на горно-обогатительных предприятиях оборотного водоснабжения;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- перехват инфильтрующихся вод путем дренажа оснований хвостохранилищ, дамб и плотин;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- экранирование ложа технических водоемов и хвостохранилищ природными и синтетическими материалами, в качестве природных материалов используют глинистые материалы, а из искусственных – полиэтиленовую, поливинилхлоридную пленку. 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Для ликвидации последствий аварий и загрязнения водоемов эти источники засыпают вплоть до полной ликвидации акватории водоема с последующей рекультивацией. Для ликвидации подземных радиоактивных линз разрабатываются специальные методы.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lastRenderedPageBreak/>
        <w:t>В последнее время все больше работ проводится по изучению возможности удаления радионуклидов из сточных вод различными физико-химическими методами, в том числе и сорбционными. Для этих целей используются как искусственные так и природные сорбционные материалы.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Из искусственных материалов следует отметить ионообменные смолы и активные угли. Эти материалы обладают хорошей сорбционной способностью по отношению ко многим загрязнителям, в том числе и по отношению к радионуклидам, но существенным недостатком этих материалов является их высокая стоимость. Кроме того, активные угли обладают повышенной пожароопасностью и их хранение  для очистки больших объемов воды достаточно сложно.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Данные недостатки отсутствуют у природных сорбентов – цеолитов и бентонитовых глин.  Эти сорбенты обладают достаточно большой ионообменной емкостью,  технологичны в использовании, имеют невысокую стоимость. 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Разработка сорбционных способов очистки сточных вод от радионуклидов проводилась рядом исследовательских институтов. 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В работе Н.Ф. Челищева и соавторов («Об использовании клиноптиллолита для концентрирования и разделения редкоземельных элементов». Технологические исследования в области редких и рассеянных элементов. М:, ИМГРЭ, 1975, 29-29) показано, что природные цеолиты – клиноптиллолиты являются эффективными сорбентами для извлечения редких щелочных металлов. Стронция из растворов сложного состава, в том числе и из сточных вод промышленных предприятий.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Авторы</w:t>
      </w:r>
      <w:r w:rsidRPr="00955324">
        <w:rPr>
          <w:sz w:val="20"/>
          <w:szCs w:val="20"/>
          <w:lang w:val="en-US"/>
        </w:rPr>
        <w:t xml:space="preserve"> Huck P.M., Anderson W.B., Andrews R.S.  </w:t>
      </w:r>
      <w:r w:rsidRPr="00955324">
        <w:rPr>
          <w:sz w:val="20"/>
          <w:szCs w:val="20"/>
        </w:rPr>
        <w:t xml:space="preserve">в работе «Разработка нового процесса для очистки сточных вод  рудников по добыче урановой руды», </w:t>
      </w:r>
      <w:r w:rsidRPr="00955324">
        <w:rPr>
          <w:sz w:val="20"/>
          <w:szCs w:val="20"/>
          <w:lang w:val="en-US"/>
        </w:rPr>
        <w:t>Water</w:t>
      </w:r>
      <w:r w:rsidRPr="00955324">
        <w:rPr>
          <w:sz w:val="20"/>
          <w:szCs w:val="20"/>
        </w:rPr>
        <w:t xml:space="preserve"> </w:t>
      </w:r>
      <w:r w:rsidRPr="00955324">
        <w:rPr>
          <w:sz w:val="20"/>
          <w:szCs w:val="20"/>
          <w:lang w:val="en-US"/>
        </w:rPr>
        <w:t>Sci</w:t>
      </w:r>
      <w:r w:rsidRPr="00955324">
        <w:rPr>
          <w:sz w:val="20"/>
          <w:szCs w:val="20"/>
        </w:rPr>
        <w:t xml:space="preserve">. </w:t>
      </w:r>
      <w:r w:rsidRPr="00955324">
        <w:rPr>
          <w:sz w:val="20"/>
          <w:szCs w:val="20"/>
          <w:lang w:val="en-US"/>
        </w:rPr>
        <w:t>and</w:t>
      </w:r>
      <w:r w:rsidRPr="00955324">
        <w:rPr>
          <w:sz w:val="20"/>
          <w:szCs w:val="20"/>
        </w:rPr>
        <w:t xml:space="preserve"> </w:t>
      </w:r>
      <w:r w:rsidRPr="00955324">
        <w:rPr>
          <w:sz w:val="20"/>
          <w:szCs w:val="20"/>
          <w:lang w:val="en-US"/>
        </w:rPr>
        <w:t>Technol</w:t>
      </w:r>
      <w:r w:rsidRPr="00955324">
        <w:rPr>
          <w:sz w:val="20"/>
          <w:szCs w:val="20"/>
        </w:rPr>
        <w:t xml:space="preserve">.,1985, </w:t>
      </w:r>
      <w:r w:rsidRPr="00955324">
        <w:rPr>
          <w:sz w:val="20"/>
          <w:szCs w:val="20"/>
          <w:u w:val="single"/>
        </w:rPr>
        <w:t>17</w:t>
      </w:r>
      <w:r w:rsidRPr="00955324">
        <w:rPr>
          <w:sz w:val="20"/>
          <w:szCs w:val="20"/>
        </w:rPr>
        <w:t>, № 2-3,337-350, показали, что сорбционный процесс может быть успешно использован для очистки сточных вод урановых рудников в провинции  Альберта ( Канада). Испытания установки показали, что она обеспечивает очистку сточных вод на 90 и долее процентов.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 xml:space="preserve">В работе авторов </w:t>
      </w:r>
      <w:r w:rsidRPr="00955324">
        <w:rPr>
          <w:sz w:val="20"/>
          <w:szCs w:val="20"/>
          <w:lang w:val="en-US"/>
        </w:rPr>
        <w:t>Erter</w:t>
      </w:r>
      <w:r w:rsidRPr="00955324">
        <w:rPr>
          <w:sz w:val="20"/>
          <w:szCs w:val="20"/>
        </w:rPr>
        <w:t xml:space="preserve"> </w:t>
      </w:r>
      <w:r w:rsidRPr="00955324">
        <w:rPr>
          <w:sz w:val="20"/>
          <w:szCs w:val="20"/>
          <w:lang w:val="en-US"/>
        </w:rPr>
        <w:t>H</w:t>
      </w:r>
      <w:r w:rsidRPr="00955324">
        <w:rPr>
          <w:sz w:val="20"/>
          <w:szCs w:val="20"/>
        </w:rPr>
        <w:t>.</w:t>
      </w:r>
      <w:r w:rsidRPr="00955324">
        <w:rPr>
          <w:sz w:val="20"/>
          <w:szCs w:val="20"/>
          <w:lang w:val="en-US"/>
        </w:rPr>
        <w:t>N</w:t>
      </w:r>
      <w:r w:rsidRPr="00955324">
        <w:rPr>
          <w:sz w:val="20"/>
          <w:szCs w:val="20"/>
        </w:rPr>
        <w:t xml:space="preserve">., </w:t>
      </w:r>
      <w:r w:rsidRPr="00955324">
        <w:rPr>
          <w:sz w:val="20"/>
          <w:szCs w:val="20"/>
          <w:lang w:val="en-US"/>
        </w:rPr>
        <w:t>Aksoyoglus</w:t>
      </w:r>
      <w:r w:rsidRPr="00955324">
        <w:rPr>
          <w:sz w:val="20"/>
          <w:szCs w:val="20"/>
        </w:rPr>
        <w:t xml:space="preserve">., </w:t>
      </w:r>
      <w:r w:rsidRPr="00955324">
        <w:rPr>
          <w:sz w:val="20"/>
          <w:szCs w:val="20"/>
          <w:lang w:val="en-US"/>
        </w:rPr>
        <w:t>G</w:t>
      </w:r>
      <w:r w:rsidRPr="00955324">
        <w:rPr>
          <w:sz w:val="20"/>
          <w:szCs w:val="20"/>
        </w:rPr>
        <w:t>ö</w:t>
      </w:r>
      <w:r w:rsidRPr="00955324">
        <w:rPr>
          <w:sz w:val="20"/>
          <w:szCs w:val="20"/>
          <w:lang w:val="en-US"/>
        </w:rPr>
        <w:t>kturk</w:t>
      </w:r>
      <w:r w:rsidRPr="00955324">
        <w:rPr>
          <w:sz w:val="20"/>
          <w:szCs w:val="20"/>
        </w:rPr>
        <w:t xml:space="preserve"> </w:t>
      </w:r>
      <w:r w:rsidRPr="00955324">
        <w:rPr>
          <w:sz w:val="20"/>
          <w:szCs w:val="20"/>
          <w:lang w:val="en-US"/>
        </w:rPr>
        <w:t>H</w:t>
      </w:r>
      <w:r w:rsidRPr="00955324">
        <w:rPr>
          <w:sz w:val="20"/>
          <w:szCs w:val="20"/>
        </w:rPr>
        <w:t xml:space="preserve">. «Сорбция катионов цезия на глинистых и почвенных частицах их различных районов Турции», </w:t>
      </w:r>
      <w:r w:rsidRPr="00955324">
        <w:rPr>
          <w:sz w:val="20"/>
          <w:szCs w:val="20"/>
          <w:lang w:val="en-US"/>
        </w:rPr>
        <w:t>Sci</w:t>
      </w:r>
      <w:r w:rsidRPr="00955324">
        <w:rPr>
          <w:sz w:val="20"/>
          <w:szCs w:val="20"/>
        </w:rPr>
        <w:t xml:space="preserve">. </w:t>
      </w:r>
      <w:r w:rsidRPr="00955324">
        <w:rPr>
          <w:sz w:val="20"/>
          <w:szCs w:val="20"/>
          <w:lang w:val="en-US"/>
        </w:rPr>
        <w:t>Total</w:t>
      </w:r>
      <w:r w:rsidRPr="00955324">
        <w:rPr>
          <w:sz w:val="20"/>
          <w:szCs w:val="20"/>
        </w:rPr>
        <w:t xml:space="preserve"> </w:t>
      </w:r>
      <w:r w:rsidRPr="00955324">
        <w:rPr>
          <w:sz w:val="20"/>
          <w:szCs w:val="20"/>
          <w:lang w:val="en-US"/>
        </w:rPr>
        <w:t>Environ</w:t>
      </w:r>
      <w:r w:rsidRPr="00955324">
        <w:rPr>
          <w:sz w:val="20"/>
          <w:szCs w:val="20"/>
        </w:rPr>
        <w:t xml:space="preserve">, 1988, </w:t>
      </w:r>
      <w:r w:rsidRPr="00955324">
        <w:rPr>
          <w:sz w:val="20"/>
          <w:szCs w:val="20"/>
          <w:u w:val="single"/>
        </w:rPr>
        <w:t>69</w:t>
      </w:r>
      <w:r w:rsidRPr="00955324">
        <w:rPr>
          <w:sz w:val="20"/>
          <w:szCs w:val="20"/>
        </w:rPr>
        <w:t>, 269-296 было показано, что ионы цезия прочно сорбируются на поверхности глинистых и почвенных частиц.</w:t>
      </w:r>
    </w:p>
    <w:p w:rsidR="00221988" w:rsidRPr="00955324" w:rsidRDefault="00221988" w:rsidP="00221988">
      <w:pPr>
        <w:ind w:firstLine="567"/>
        <w:jc w:val="both"/>
        <w:rPr>
          <w:sz w:val="20"/>
          <w:szCs w:val="20"/>
        </w:rPr>
      </w:pPr>
      <w:r w:rsidRPr="00955324">
        <w:rPr>
          <w:sz w:val="20"/>
          <w:szCs w:val="20"/>
        </w:rPr>
        <w:t>Таким образом, для снижения концентрации радионуклидов представляется перспективным использование природных сорбционных материалов – цеолитов и бентонитовых глин, месторождения которых находятся на территории Казахстана. Планируется проведение исследований по снижению концентрации радионуклидов в сточных водах промышленных предприятий, подземных водах на территории Семипалатинского полигона с использованием цеолитов Тайжузгенского и бентонитовых глин Таганского месторождений Восточно-Казахстанской области.</w:t>
      </w:r>
    </w:p>
    <w:p w:rsidR="00221988" w:rsidRPr="00955324" w:rsidRDefault="00221988" w:rsidP="00221988">
      <w:pPr>
        <w:ind w:firstLine="567"/>
        <w:jc w:val="both"/>
        <w:rPr>
          <w:b/>
          <w:sz w:val="20"/>
          <w:szCs w:val="20"/>
        </w:rPr>
      </w:pPr>
      <w:r w:rsidRPr="00955324">
        <w:rPr>
          <w:sz w:val="20"/>
          <w:szCs w:val="20"/>
        </w:rPr>
        <w:t>Для очистки воды от радионуклидов используют различные фильтры, например, фильтр АКВАВЭЙ (рисунок 2)</w:t>
      </w:r>
      <w:r w:rsidRPr="00955324">
        <w:rPr>
          <w:b/>
          <w:sz w:val="20"/>
          <w:szCs w:val="20"/>
        </w:rPr>
        <w:t xml:space="preserve"> </w:t>
      </w:r>
    </w:p>
    <w:p w:rsidR="00221988" w:rsidRPr="00955324" w:rsidRDefault="00221988" w:rsidP="00221988">
      <w:pPr>
        <w:ind w:firstLine="567"/>
        <w:jc w:val="center"/>
        <w:rPr>
          <w:sz w:val="20"/>
          <w:szCs w:val="20"/>
        </w:rPr>
      </w:pPr>
      <w:r w:rsidRPr="00955324">
        <w:rPr>
          <w:b/>
          <w:noProof/>
          <w:sz w:val="20"/>
          <w:szCs w:val="20"/>
        </w:rPr>
        <w:drawing>
          <wp:inline distT="0" distB="0" distL="0" distR="0">
            <wp:extent cx="3905250" cy="2486025"/>
            <wp:effectExtent l="19050" t="0" r="0" b="0"/>
            <wp:docPr id="1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1988" w:rsidRPr="00955324" w:rsidRDefault="00221988" w:rsidP="00221988">
      <w:pPr>
        <w:pStyle w:val="a3"/>
        <w:ind w:firstLine="567"/>
        <w:jc w:val="center"/>
        <w:rPr>
          <w:bCs/>
          <w:sz w:val="20"/>
          <w:szCs w:val="20"/>
        </w:rPr>
      </w:pPr>
      <w:r w:rsidRPr="00955324">
        <w:rPr>
          <w:sz w:val="20"/>
          <w:szCs w:val="20"/>
        </w:rPr>
        <w:t>Рисунок 2 Фильтр для очистки питьевой воды АКВАВЭЙ</w:t>
      </w:r>
    </w:p>
    <w:p w:rsidR="00221988" w:rsidRPr="00955324" w:rsidRDefault="00221988" w:rsidP="00221988">
      <w:pPr>
        <w:pStyle w:val="a3"/>
        <w:ind w:firstLine="567"/>
        <w:jc w:val="both"/>
        <w:rPr>
          <w:bCs/>
          <w:sz w:val="20"/>
          <w:szCs w:val="20"/>
        </w:rPr>
      </w:pPr>
      <w:r w:rsidRPr="00955324">
        <w:rPr>
          <w:bCs/>
          <w:sz w:val="20"/>
          <w:szCs w:val="20"/>
        </w:rPr>
        <w:t xml:space="preserve">В качестве сорбентов в этих фильтрах используются различные природные и синтетические материалы. Например, сорбент ОДМ-2Ф, представляющий собой гранулированный фильтрующий материал, изготовленный из природного сырья. В состав этого материала входят: </w:t>
      </w:r>
      <w:r w:rsidRPr="00955324">
        <w:rPr>
          <w:bCs/>
          <w:sz w:val="20"/>
          <w:szCs w:val="20"/>
          <w:lang w:val="en-GB"/>
        </w:rPr>
        <w:t>SiO</w:t>
      </w:r>
      <w:r w:rsidRPr="00955324">
        <w:rPr>
          <w:bCs/>
          <w:sz w:val="20"/>
          <w:szCs w:val="20"/>
          <w:vertAlign w:val="subscript"/>
        </w:rPr>
        <w:t>2</w:t>
      </w:r>
      <w:r w:rsidRPr="00955324">
        <w:rPr>
          <w:bCs/>
          <w:sz w:val="20"/>
          <w:szCs w:val="20"/>
        </w:rPr>
        <w:t xml:space="preserve">, </w:t>
      </w:r>
      <w:r w:rsidRPr="00955324">
        <w:rPr>
          <w:bCs/>
          <w:sz w:val="20"/>
          <w:szCs w:val="20"/>
          <w:lang w:val="en-GB"/>
        </w:rPr>
        <w:t>Fe</w:t>
      </w:r>
      <w:r w:rsidRPr="00955324">
        <w:rPr>
          <w:bCs/>
          <w:sz w:val="20"/>
          <w:szCs w:val="20"/>
          <w:vertAlign w:val="subscript"/>
        </w:rPr>
        <w:t>2</w:t>
      </w:r>
      <w:r w:rsidRPr="00955324">
        <w:rPr>
          <w:bCs/>
          <w:sz w:val="20"/>
          <w:szCs w:val="20"/>
          <w:lang w:val="en-GB"/>
        </w:rPr>
        <w:t>O</w:t>
      </w:r>
      <w:r w:rsidRPr="00955324">
        <w:rPr>
          <w:bCs/>
          <w:sz w:val="20"/>
          <w:szCs w:val="20"/>
          <w:vertAlign w:val="subscript"/>
        </w:rPr>
        <w:t>3</w:t>
      </w:r>
      <w:r w:rsidRPr="00955324">
        <w:rPr>
          <w:bCs/>
          <w:sz w:val="20"/>
          <w:szCs w:val="20"/>
        </w:rPr>
        <w:t xml:space="preserve">, </w:t>
      </w:r>
      <w:r w:rsidRPr="00955324">
        <w:rPr>
          <w:bCs/>
          <w:sz w:val="20"/>
          <w:szCs w:val="20"/>
          <w:lang w:val="en-GB"/>
        </w:rPr>
        <w:t>Al</w:t>
      </w:r>
      <w:r w:rsidRPr="00955324">
        <w:rPr>
          <w:bCs/>
          <w:sz w:val="20"/>
          <w:szCs w:val="20"/>
          <w:vertAlign w:val="subscript"/>
        </w:rPr>
        <w:t>2</w:t>
      </w:r>
      <w:r w:rsidRPr="00955324">
        <w:rPr>
          <w:bCs/>
          <w:sz w:val="20"/>
          <w:szCs w:val="20"/>
          <w:lang w:val="en-GB"/>
        </w:rPr>
        <w:t>O</w:t>
      </w:r>
      <w:r w:rsidRPr="00955324">
        <w:rPr>
          <w:bCs/>
          <w:sz w:val="20"/>
          <w:szCs w:val="20"/>
          <w:vertAlign w:val="subscript"/>
        </w:rPr>
        <w:t>3</w:t>
      </w:r>
      <w:r w:rsidRPr="00955324">
        <w:rPr>
          <w:bCs/>
          <w:sz w:val="20"/>
          <w:szCs w:val="20"/>
        </w:rPr>
        <w:t xml:space="preserve">, </w:t>
      </w:r>
      <w:r w:rsidRPr="00955324">
        <w:rPr>
          <w:bCs/>
          <w:sz w:val="20"/>
          <w:szCs w:val="20"/>
          <w:lang w:val="en-GB"/>
        </w:rPr>
        <w:t>MgO</w:t>
      </w:r>
      <w:r w:rsidRPr="00955324">
        <w:rPr>
          <w:bCs/>
          <w:sz w:val="20"/>
          <w:szCs w:val="20"/>
        </w:rPr>
        <w:t xml:space="preserve">, </w:t>
      </w:r>
      <w:r w:rsidRPr="00955324">
        <w:rPr>
          <w:bCs/>
          <w:sz w:val="20"/>
          <w:szCs w:val="20"/>
          <w:lang w:val="en-GB"/>
        </w:rPr>
        <w:t>CaO</w:t>
      </w:r>
      <w:r w:rsidRPr="00955324">
        <w:rPr>
          <w:bCs/>
          <w:sz w:val="20"/>
          <w:szCs w:val="20"/>
        </w:rPr>
        <w:t>. Этот сорбент обеспечивает высокую степень очистки воды от радионуклидов (рисунок 3). Кроме этого минерального сорбента для очистки воды от радионуклидов можно использовать шунгиты (рисунок 4).</w:t>
      </w:r>
    </w:p>
    <w:p w:rsidR="00221988" w:rsidRPr="00955324" w:rsidRDefault="00221988" w:rsidP="00221988">
      <w:pPr>
        <w:pStyle w:val="a3"/>
        <w:ind w:firstLine="567"/>
        <w:jc w:val="both"/>
        <w:rPr>
          <w:bCs/>
          <w:sz w:val="20"/>
          <w:szCs w:val="20"/>
        </w:rPr>
      </w:pPr>
      <w:r w:rsidRPr="00955324">
        <w:rPr>
          <w:bCs/>
          <w:noProof/>
          <w:sz w:val="20"/>
          <w:szCs w:val="20"/>
        </w:rPr>
        <w:lastRenderedPageBreak/>
        <w:drawing>
          <wp:inline distT="0" distB="0" distL="0" distR="0">
            <wp:extent cx="1325175" cy="1704975"/>
            <wp:effectExtent l="19050" t="0" r="8325" b="0"/>
            <wp:docPr id="14" name="Рисунок 2" descr="Увеличить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Увеличить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1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5324">
        <w:rPr>
          <w:bCs/>
          <w:sz w:val="20"/>
          <w:szCs w:val="20"/>
        </w:rPr>
        <w:t xml:space="preserve">                                  </w:t>
      </w:r>
      <w:r w:rsidRPr="00955324">
        <w:rPr>
          <w:bCs/>
          <w:noProof/>
          <w:sz w:val="20"/>
          <w:szCs w:val="20"/>
        </w:rPr>
        <w:drawing>
          <wp:inline distT="0" distB="0" distL="0" distR="0">
            <wp:extent cx="2695575" cy="1746733"/>
            <wp:effectExtent l="19050" t="0" r="9525" b="0"/>
            <wp:docPr id="1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746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221988" w:rsidRPr="00955324" w:rsidTr="007817C9">
        <w:tc>
          <w:tcPr>
            <w:tcW w:w="4785" w:type="dxa"/>
          </w:tcPr>
          <w:p w:rsidR="00221988" w:rsidRPr="00955324" w:rsidRDefault="00221988" w:rsidP="007817C9">
            <w:pPr>
              <w:pStyle w:val="a3"/>
              <w:jc w:val="center"/>
              <w:rPr>
                <w:bCs/>
                <w:sz w:val="20"/>
                <w:szCs w:val="20"/>
              </w:rPr>
            </w:pPr>
            <w:r w:rsidRPr="00955324">
              <w:rPr>
                <w:bCs/>
                <w:sz w:val="20"/>
                <w:szCs w:val="20"/>
              </w:rPr>
              <w:t>Рисунок 3 Фильтрующий материал для очистки воды от радионуклидов</w:t>
            </w:r>
          </w:p>
        </w:tc>
        <w:tc>
          <w:tcPr>
            <w:tcW w:w="4786" w:type="dxa"/>
          </w:tcPr>
          <w:p w:rsidR="00221988" w:rsidRPr="00955324" w:rsidRDefault="00221988" w:rsidP="007817C9">
            <w:pPr>
              <w:pStyle w:val="a3"/>
              <w:ind w:left="35"/>
              <w:jc w:val="center"/>
              <w:rPr>
                <w:bCs/>
                <w:sz w:val="20"/>
                <w:szCs w:val="20"/>
              </w:rPr>
            </w:pPr>
            <w:r w:rsidRPr="00955324">
              <w:rPr>
                <w:bCs/>
                <w:sz w:val="20"/>
                <w:szCs w:val="20"/>
              </w:rPr>
              <w:t>Рисунок 8.4 Шунгит для очистки воды от радионуклидов</w:t>
            </w:r>
          </w:p>
        </w:tc>
      </w:tr>
    </w:tbl>
    <w:p w:rsidR="00221988" w:rsidRPr="00955324" w:rsidRDefault="00221988" w:rsidP="00221988">
      <w:pPr>
        <w:pStyle w:val="a3"/>
        <w:ind w:firstLine="567"/>
        <w:jc w:val="both"/>
        <w:rPr>
          <w:bCs/>
          <w:sz w:val="20"/>
          <w:szCs w:val="20"/>
        </w:rPr>
      </w:pPr>
      <w:r w:rsidRPr="00955324">
        <w:rPr>
          <w:bCs/>
          <w:sz w:val="20"/>
          <w:szCs w:val="20"/>
        </w:rPr>
        <w:t xml:space="preserve">Большую проблему представляет собой присутствие в питьевой воде радона. По оценкам Научного комитета по действию атомной радиации ( НКОАР) при ООН около 10% жителей Земли пьют воду с содержанием радона, превышающим нормативы в 2 и более раза. Как правило, радоном загрязнены подземные источники водоснабжения. </w:t>
      </w:r>
    </w:p>
    <w:p w:rsidR="00221988" w:rsidRPr="00955324" w:rsidRDefault="00221988" w:rsidP="00221988">
      <w:pPr>
        <w:pStyle w:val="a3"/>
        <w:ind w:firstLine="567"/>
        <w:jc w:val="both"/>
        <w:rPr>
          <w:bCs/>
          <w:sz w:val="20"/>
          <w:szCs w:val="20"/>
        </w:rPr>
      </w:pPr>
      <w:r w:rsidRPr="00955324">
        <w:rPr>
          <w:bCs/>
          <w:sz w:val="20"/>
          <w:szCs w:val="20"/>
        </w:rPr>
        <w:t xml:space="preserve">Опасность радона состоит в том, что он </w:t>
      </w:r>
      <w:r w:rsidRPr="00955324">
        <w:rPr>
          <w:rStyle w:val="a4"/>
          <w:b w:val="0"/>
          <w:color w:val="000000"/>
          <w:sz w:val="20"/>
          <w:szCs w:val="20"/>
        </w:rPr>
        <w:t>будучи газом,  попадает в организм человека при дыхании и может вызвать пагубные для здоровья последствия, прежде всего - рак легких. Недавний совокупный анализ основных европейских исследований показал, что риск развития рака легких возрастает на 16 % при повышении концентрации радона на 100 Bq/m</w:t>
      </w:r>
      <w:r w:rsidRPr="00955324">
        <w:rPr>
          <w:rStyle w:val="a4"/>
          <w:b w:val="0"/>
          <w:color w:val="000000"/>
          <w:sz w:val="20"/>
          <w:szCs w:val="20"/>
          <w:vertAlign w:val="superscript"/>
        </w:rPr>
        <w:t>3</w:t>
      </w:r>
      <w:r w:rsidRPr="00955324">
        <w:rPr>
          <w:rStyle w:val="a4"/>
          <w:b w:val="0"/>
          <w:color w:val="000000"/>
          <w:sz w:val="20"/>
          <w:szCs w:val="20"/>
        </w:rPr>
        <w:t>. В случае, когда для водоснабжения дома используются скважины, радон попадает в дом с водой и скапливается в кухнях и ванных комнатах. Открыли кран на кухне – пошла вода, а вместе с ней в воздух – радон.</w:t>
      </w:r>
    </w:p>
    <w:p w:rsidR="00221988" w:rsidRPr="00955324" w:rsidRDefault="00221988" w:rsidP="00221988">
      <w:pPr>
        <w:pStyle w:val="a3"/>
        <w:ind w:firstLine="567"/>
        <w:jc w:val="both"/>
        <w:rPr>
          <w:color w:val="225177"/>
          <w:sz w:val="20"/>
          <w:szCs w:val="20"/>
        </w:rPr>
      </w:pPr>
      <w:r w:rsidRPr="00955324">
        <w:rPr>
          <w:sz w:val="20"/>
          <w:szCs w:val="20"/>
        </w:rPr>
        <w:t>В материалах санитарных служб и МЧС, особенно, начиная с 2000г. (время введения САНПина, ограничивающего содержание радона и его ПР в питьевой воде) все чаще появляются сведения об обнаружении радона и его ПР в питьевой воде различных регионов (Свердловская, Челябинская, Ленинградская области, Кавказ, Сибирь и т.д.). В настоящее время радон и его продукты распада (ПР) удаляют из воды угольными фильтрами, аэрацией и обратноосмотическими мембранами. Эти технологии дороги и не всегда эффективны: уголь и аэрация не удаляют ПР, а мембраны требуют предварительной очистки воды от примесей и ведут к большой (до 50%) потере воды. Удалить радон из воды можно при помощи специальных фильтров, например фильтров фирмы «ТУРОН»</w:t>
      </w: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21988"/>
    <w:rsid w:val="00011CCE"/>
    <w:rsid w:val="00221988"/>
    <w:rsid w:val="0097631C"/>
    <w:rsid w:val="009F5E71"/>
    <w:rsid w:val="00B51932"/>
    <w:rsid w:val="00BE5B01"/>
    <w:rsid w:val="00BF2BEA"/>
    <w:rsid w:val="00CE7387"/>
    <w:rsid w:val="00E05956"/>
    <w:rsid w:val="00E46C74"/>
    <w:rsid w:val="00EE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988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1988"/>
    <w:pPr>
      <w:spacing w:before="100" w:beforeAutospacing="1" w:after="100" w:afterAutospacing="1"/>
    </w:pPr>
  </w:style>
  <w:style w:type="character" w:styleId="a4">
    <w:name w:val="Strong"/>
    <w:basedOn w:val="a0"/>
    <w:qFormat/>
    <w:rsid w:val="00221988"/>
    <w:rPr>
      <w:b/>
      <w:bCs/>
    </w:rPr>
  </w:style>
  <w:style w:type="table" w:styleId="a5">
    <w:name w:val="Table Grid"/>
    <w:basedOn w:val="a1"/>
    <w:uiPriority w:val="59"/>
    <w:rsid w:val="0022198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2198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198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kpur.ru/img/odm-2f_lrg.jpg" TargetMode="External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1088</Words>
  <Characters>6203</Characters>
  <Application>Microsoft Office Word</Application>
  <DocSecurity>0</DocSecurity>
  <Lines>51</Lines>
  <Paragraphs>14</Paragraphs>
  <ScaleCrop>false</ScaleCrop>
  <Company>HOME</Company>
  <LinksUpToDate>false</LinksUpToDate>
  <CharactersWithSpaces>7277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2017-01-30T18:56:00Z</dcterms:created>
  <dcterms:modified xsi:type="dcterms:W3CDTF">2017-01-30T18:57:00Z</dcterms:modified>
</cp:coreProperties>
</file>